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67744" w14:textId="74FA2CE3" w:rsidR="008B1F59" w:rsidRPr="008B1F59" w:rsidRDefault="008040DB" w:rsidP="008B1F59">
      <w:pPr>
        <w:rPr>
          <w:rFonts w:ascii="Roboto Bold" w:hAnsi="Roboto Bold" w:cs="Arial"/>
          <w:b/>
          <w:sz w:val="24"/>
          <w:szCs w:val="24"/>
        </w:rPr>
      </w:pPr>
      <w:r w:rsidRPr="008B1F59">
        <w:rPr>
          <w:rFonts w:ascii="Roboto Bold" w:hAnsi="Roboto Bold" w:cs="Arial"/>
          <w:b/>
          <w:sz w:val="24"/>
          <w:szCs w:val="24"/>
        </w:rPr>
        <w:t>Ansvars- og funktionsbeskrivelser for udvalgsformænd og udvalgsmedlemmer</w:t>
      </w:r>
    </w:p>
    <w:p w14:paraId="7B9B2801" w14:textId="4C89D2E7" w:rsidR="008040DB" w:rsidRPr="008B1F59" w:rsidRDefault="008040DB" w:rsidP="008040DB">
      <w:pPr>
        <w:rPr>
          <w:rFonts w:ascii="Roboto Light" w:hAnsi="Roboto Light" w:cs="Arial"/>
          <w:sz w:val="20"/>
          <w:szCs w:val="20"/>
        </w:rPr>
      </w:pPr>
      <w:r w:rsidRPr="008B1F59">
        <w:rPr>
          <w:rFonts w:ascii="Roboto Light" w:hAnsi="Roboto Light" w:cs="Arial"/>
          <w:sz w:val="20"/>
          <w:szCs w:val="20"/>
        </w:rPr>
        <w:t>Appeludvalget: Kommissorium for udvalget fremgår af Badminton Danmarks Love §23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040DB" w:rsidRPr="008040DB" w14:paraId="22D4D111" w14:textId="77777777" w:rsidTr="008B1F59">
        <w:tc>
          <w:tcPr>
            <w:tcW w:w="3114" w:type="dxa"/>
          </w:tcPr>
          <w:p w14:paraId="0A5AA281" w14:textId="77777777" w:rsidR="008040DB" w:rsidRPr="008B1F59" w:rsidRDefault="008040DB" w:rsidP="00E34F47">
            <w:pPr>
              <w:rPr>
                <w:rFonts w:ascii="Roboto Bold" w:hAnsi="Roboto Bold" w:cs="Arial"/>
                <w:bCs/>
                <w:sz w:val="24"/>
                <w:szCs w:val="24"/>
              </w:rPr>
            </w:pPr>
            <w:r w:rsidRPr="008B1F59">
              <w:rPr>
                <w:rFonts w:ascii="Roboto Bold" w:hAnsi="Roboto Bold" w:cs="Arial"/>
                <w:bCs/>
                <w:sz w:val="24"/>
                <w:szCs w:val="24"/>
              </w:rPr>
              <w:t>Udvalgsmedlem</w:t>
            </w:r>
          </w:p>
        </w:tc>
        <w:tc>
          <w:tcPr>
            <w:tcW w:w="6514" w:type="dxa"/>
          </w:tcPr>
          <w:p w14:paraId="5218F751" w14:textId="77777777" w:rsidR="008040DB" w:rsidRPr="008B1F59" w:rsidRDefault="008040DB" w:rsidP="008040DB">
            <w:pPr>
              <w:spacing w:after="0"/>
              <w:rPr>
                <w:rFonts w:ascii="Roboto Bold" w:hAnsi="Roboto Bold" w:cs="Arial"/>
                <w:bCs/>
                <w:sz w:val="24"/>
                <w:szCs w:val="24"/>
              </w:rPr>
            </w:pPr>
            <w:r w:rsidRPr="008B1F59">
              <w:rPr>
                <w:rFonts w:ascii="Roboto Bold" w:hAnsi="Roboto Bold" w:cs="Arial"/>
                <w:bCs/>
                <w:sz w:val="24"/>
                <w:szCs w:val="24"/>
              </w:rPr>
              <w:t>Ansvar- og funktionsbeskrivelse for Appeludvalgsformand og Appeludvalget</w:t>
            </w:r>
          </w:p>
        </w:tc>
      </w:tr>
      <w:tr w:rsidR="008040DB" w:rsidRPr="008040DB" w14:paraId="4298915A" w14:textId="77777777" w:rsidTr="008B1F59">
        <w:tc>
          <w:tcPr>
            <w:tcW w:w="3114" w:type="dxa"/>
          </w:tcPr>
          <w:p w14:paraId="59654F91" w14:textId="77777777" w:rsidR="008040DB" w:rsidRPr="008B1F59" w:rsidRDefault="008040DB" w:rsidP="00E34F4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b/>
                <w:sz w:val="20"/>
                <w:szCs w:val="20"/>
              </w:rPr>
              <w:t>Sammensætning og valg</w:t>
            </w:r>
          </w:p>
        </w:tc>
        <w:tc>
          <w:tcPr>
            <w:tcW w:w="6514" w:type="dxa"/>
          </w:tcPr>
          <w:p w14:paraId="1EAA5814" w14:textId="77777777" w:rsidR="008040DB" w:rsidRPr="008B1F59" w:rsidRDefault="008040DB" w:rsidP="00E34F47">
            <w:pPr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>Appeludvalget består af 1 formand, yderligere 2 udvalgsmedlemmer samt 2 suppleanter.</w:t>
            </w:r>
          </w:p>
          <w:p w14:paraId="0801A80C" w14:textId="3C9901B7" w:rsidR="008040DB" w:rsidRPr="008B1F59" w:rsidRDefault="008040DB" w:rsidP="00E34F47">
            <w:pPr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>Alle vælges på forbundets repræsentantskabsmøde i h.t. lovenes §23, stk.1.</w:t>
            </w:r>
          </w:p>
        </w:tc>
      </w:tr>
      <w:tr w:rsidR="008040DB" w:rsidRPr="008040DB" w14:paraId="390342D2" w14:textId="77777777" w:rsidTr="008B1F59">
        <w:tc>
          <w:tcPr>
            <w:tcW w:w="3114" w:type="dxa"/>
          </w:tcPr>
          <w:p w14:paraId="720CFDFD" w14:textId="77777777" w:rsidR="008040DB" w:rsidRPr="008B1F59" w:rsidRDefault="008040DB" w:rsidP="00E34F4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b/>
                <w:sz w:val="20"/>
                <w:szCs w:val="20"/>
              </w:rPr>
              <w:t>Formanden</w:t>
            </w:r>
          </w:p>
          <w:p w14:paraId="7778BA02" w14:textId="77777777" w:rsidR="008040DB" w:rsidRPr="008B1F59" w:rsidRDefault="008040DB" w:rsidP="00E34F4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6D84DC87" w14:textId="77777777" w:rsidR="008040DB" w:rsidRPr="008B1F59" w:rsidRDefault="008040DB" w:rsidP="00E34F4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b/>
                <w:sz w:val="20"/>
                <w:szCs w:val="20"/>
              </w:rPr>
              <w:t>Vedr. økonomi</w:t>
            </w:r>
          </w:p>
        </w:tc>
        <w:tc>
          <w:tcPr>
            <w:tcW w:w="6514" w:type="dxa"/>
          </w:tcPr>
          <w:p w14:paraId="1D0D2659" w14:textId="77777777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 xml:space="preserve">Formanden er økonomisk ansvarlig for udvalget og udvalgets dispositioner overfor Badminton Danmarks Hovedbestyrelse. </w:t>
            </w:r>
          </w:p>
          <w:p w14:paraId="1C84EF30" w14:textId="77777777" w:rsidR="008040DB" w:rsidRPr="008B1F59" w:rsidRDefault="008040DB" w:rsidP="008040DB">
            <w:pPr>
              <w:pStyle w:val="Listeafsnit"/>
              <w:numPr>
                <w:ilvl w:val="0"/>
                <w:numId w:val="0"/>
              </w:numPr>
              <w:spacing w:after="0" w:line="240" w:lineRule="auto"/>
              <w:ind w:left="360"/>
              <w:rPr>
                <w:rFonts w:ascii="Roboto Light" w:hAnsi="Roboto Light" w:cs="Arial"/>
                <w:sz w:val="20"/>
                <w:szCs w:val="20"/>
              </w:rPr>
            </w:pPr>
          </w:p>
          <w:p w14:paraId="32D8C986" w14:textId="77777777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>Det er formandens ansvar og pligt, at udvalgets budget forvaltes i henhold til udvalgets formål og retningslinjer fastsat af Badminton Danmark. Formanden er forpligtiget til enhver tid at kunne redegøre for økonomiske dispositioner, og skal løbende indgå i dialog med Badminton Danmarks økonomiske administration omkring benyttelse af budgettet. Der udsendes kvartalsmæssigt budget- og regnskabsstatus til Udvalgsformanden. Formanden skal godkende enhver økonomisk disposition for det pågældende udvalg, og der kan kun i særtilfælde gives godkendelse til, at et andet udvalgsmedlem kan godkende økonomiske dispositioner på udvalgets vegne.</w:t>
            </w:r>
          </w:p>
          <w:p w14:paraId="41B7DF4A" w14:textId="77777777" w:rsidR="008040DB" w:rsidRPr="008B1F59" w:rsidRDefault="008040DB" w:rsidP="008040DB">
            <w:pPr>
              <w:pStyle w:val="Listeafsnit"/>
              <w:numPr>
                <w:ilvl w:val="0"/>
                <w:numId w:val="0"/>
              </w:numPr>
              <w:ind w:left="360"/>
              <w:rPr>
                <w:rFonts w:ascii="Roboto Light" w:hAnsi="Roboto Light" w:cs="Arial"/>
                <w:sz w:val="20"/>
                <w:szCs w:val="20"/>
              </w:rPr>
            </w:pPr>
          </w:p>
          <w:p w14:paraId="45FDE9E8" w14:textId="77777777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>Budgettet for det pågældende udvalg er fastsat af Hovedbestyrelsen i Badminton Danmark og må ikke overskrides, og hvis der sker uforudsete hændelser eller dispositioner, som medfører overskridelse af budgettet, skal dette godkendes af den ansvarlige for udvalget i Badminton Danmarks Hovedbestyrelse samt den politiske Økonomiansvarlige i Hovedbestyrelsen.</w:t>
            </w:r>
          </w:p>
        </w:tc>
      </w:tr>
      <w:tr w:rsidR="008040DB" w:rsidRPr="008040DB" w14:paraId="39098265" w14:textId="77777777" w:rsidTr="008B1F59">
        <w:tc>
          <w:tcPr>
            <w:tcW w:w="3114" w:type="dxa"/>
          </w:tcPr>
          <w:p w14:paraId="4D274E73" w14:textId="77777777" w:rsidR="008040DB" w:rsidRPr="008B1F59" w:rsidRDefault="008040DB" w:rsidP="008040DB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b/>
                <w:sz w:val="20"/>
                <w:szCs w:val="20"/>
              </w:rPr>
              <w:t>Udvalgsformanden er ansvarlig for</w:t>
            </w:r>
          </w:p>
        </w:tc>
        <w:tc>
          <w:tcPr>
            <w:tcW w:w="6514" w:type="dxa"/>
          </w:tcPr>
          <w:p w14:paraId="77F97BA6" w14:textId="54E3B00E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>At alle sager og opgaver, der indbringes for udvalget, behandles i henhold til ”Forretningsgang m.v.” og ”Afsigelse af kendelse og appel” i Badminton Danmarks Love §23.</w:t>
            </w:r>
          </w:p>
        </w:tc>
      </w:tr>
      <w:tr w:rsidR="008040DB" w:rsidRPr="008040DB" w14:paraId="58D49E90" w14:textId="77777777" w:rsidTr="008B1F59">
        <w:tc>
          <w:tcPr>
            <w:tcW w:w="3114" w:type="dxa"/>
          </w:tcPr>
          <w:p w14:paraId="3CDC3688" w14:textId="77777777" w:rsidR="008040DB" w:rsidRPr="008B1F59" w:rsidRDefault="008040DB" w:rsidP="00E34F4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b/>
                <w:sz w:val="20"/>
                <w:szCs w:val="20"/>
              </w:rPr>
              <w:t xml:space="preserve">Ansvar – og funktionsbeskrivelse for udvalget </w:t>
            </w:r>
          </w:p>
          <w:p w14:paraId="6724D113" w14:textId="77777777" w:rsidR="008040DB" w:rsidRPr="008B1F59" w:rsidRDefault="008040DB" w:rsidP="00E34F47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</w:p>
          <w:p w14:paraId="0A75C5A9" w14:textId="77777777" w:rsidR="008040DB" w:rsidRPr="008B1F59" w:rsidRDefault="008040DB" w:rsidP="00E34F47">
            <w:pPr>
              <w:rPr>
                <w:rFonts w:ascii="Roboto Light" w:hAnsi="Roboto Light" w:cs="Arial"/>
                <w:sz w:val="20"/>
                <w:szCs w:val="20"/>
              </w:rPr>
            </w:pPr>
          </w:p>
        </w:tc>
        <w:tc>
          <w:tcPr>
            <w:tcW w:w="6514" w:type="dxa"/>
          </w:tcPr>
          <w:p w14:paraId="632C8C41" w14:textId="3B13A3AC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>Udvalget skal behandle alle indkomne sager, som er beskrevet i Badminton Danmarks love §23 stk. 3 ”Opgaver”</w:t>
            </w:r>
          </w:p>
          <w:p w14:paraId="3F0D8BBB" w14:textId="07AECE18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>Udvalget skal ved behandlingen af indkomne sager følge forretningsgangen beskrevet i Badminton Danmarks love §23, stk. 4 – 8</w:t>
            </w:r>
          </w:p>
          <w:p w14:paraId="05B650EA" w14:textId="7B7ABEAB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 xml:space="preserve">Udvalget skal afsige sin kendelse og oplyse om appelmulighed i h.t. Badminton Danmarks love §23 stk. 9 - 11 </w:t>
            </w:r>
          </w:p>
          <w:p w14:paraId="3E4ADB87" w14:textId="1A037CC6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 xml:space="preserve">Udvalgets skal – med administrationens hjælp – </w:t>
            </w:r>
            <w:r w:rsidR="008B1F59" w:rsidRPr="008B1F59">
              <w:rPr>
                <w:rFonts w:ascii="Roboto Light" w:hAnsi="Roboto Light" w:cs="Arial"/>
                <w:sz w:val="20"/>
                <w:szCs w:val="20"/>
              </w:rPr>
              <w:t>offentliggøre</w:t>
            </w:r>
            <w:r w:rsidRPr="008B1F59">
              <w:rPr>
                <w:rFonts w:ascii="Roboto Light" w:hAnsi="Roboto Light" w:cs="Arial"/>
                <w:sz w:val="20"/>
                <w:szCs w:val="20"/>
              </w:rPr>
              <w:t xml:space="preserve"> dets afgørelser på Badminton Danmarks hjemmeside</w:t>
            </w:r>
          </w:p>
        </w:tc>
      </w:tr>
      <w:tr w:rsidR="008040DB" w:rsidRPr="008040DB" w14:paraId="7378C0C4" w14:textId="77777777" w:rsidTr="008B1F59">
        <w:tc>
          <w:tcPr>
            <w:tcW w:w="3114" w:type="dxa"/>
          </w:tcPr>
          <w:p w14:paraId="6FD3CFF4" w14:textId="77777777" w:rsidR="008040DB" w:rsidRPr="008B1F59" w:rsidRDefault="008040DB" w:rsidP="008040DB">
            <w:pPr>
              <w:spacing w:after="0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b/>
                <w:sz w:val="20"/>
                <w:szCs w:val="20"/>
              </w:rPr>
              <w:t>Reference til HB</w:t>
            </w:r>
          </w:p>
        </w:tc>
        <w:tc>
          <w:tcPr>
            <w:tcW w:w="6514" w:type="dxa"/>
          </w:tcPr>
          <w:p w14:paraId="2BDDB515" w14:textId="77777777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 xml:space="preserve">HB’ s næstformand </w:t>
            </w:r>
          </w:p>
        </w:tc>
      </w:tr>
      <w:tr w:rsidR="008040DB" w:rsidRPr="008040DB" w14:paraId="3E05BE92" w14:textId="77777777" w:rsidTr="008B1F59">
        <w:tc>
          <w:tcPr>
            <w:tcW w:w="3114" w:type="dxa"/>
          </w:tcPr>
          <w:p w14:paraId="7A880CBF" w14:textId="77777777" w:rsidR="008040DB" w:rsidRPr="008B1F59" w:rsidRDefault="008040DB" w:rsidP="008040DB">
            <w:pPr>
              <w:rPr>
                <w:rFonts w:ascii="Roboto Light" w:hAnsi="Roboto Light" w:cs="Arial"/>
                <w:b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b/>
                <w:sz w:val="20"/>
                <w:szCs w:val="20"/>
              </w:rPr>
              <w:t>Appeludvalget har samarbejdsrelationer med</w:t>
            </w:r>
          </w:p>
        </w:tc>
        <w:tc>
          <w:tcPr>
            <w:tcW w:w="6514" w:type="dxa"/>
          </w:tcPr>
          <w:p w14:paraId="505DEACE" w14:textId="2EF1A760" w:rsidR="008040DB" w:rsidRPr="008B1F59" w:rsidRDefault="008040DB" w:rsidP="008B1F59">
            <w:pPr>
              <w:pStyle w:val="Listeafsnit"/>
              <w:numPr>
                <w:ilvl w:val="0"/>
                <w:numId w:val="6"/>
              </w:numPr>
              <w:spacing w:after="0" w:line="240" w:lineRule="auto"/>
              <w:rPr>
                <w:rFonts w:ascii="Roboto Light" w:hAnsi="Roboto Light" w:cs="Arial"/>
                <w:sz w:val="20"/>
                <w:szCs w:val="20"/>
              </w:rPr>
            </w:pPr>
            <w:r w:rsidRPr="008B1F59">
              <w:rPr>
                <w:rFonts w:ascii="Roboto Light" w:hAnsi="Roboto Light" w:cs="Arial"/>
                <w:sz w:val="20"/>
                <w:szCs w:val="20"/>
              </w:rPr>
              <w:t xml:space="preserve">Administrationen i det omfang det skønnes nødvendigt, ved fremskaffelsen af de nødvendige materialer (oplysninger) samt vedrørende bestemmelserne for at overholde underretnings- og informationspligterne. </w:t>
            </w:r>
          </w:p>
        </w:tc>
      </w:tr>
    </w:tbl>
    <w:p w14:paraId="7D6CC9CB" w14:textId="77777777" w:rsidR="00867F00" w:rsidRPr="008040DB" w:rsidRDefault="00867F00" w:rsidP="00601403">
      <w:pPr>
        <w:rPr>
          <w:rFonts w:ascii="Roboto" w:hAnsi="Roboto"/>
        </w:rPr>
      </w:pPr>
      <w:bookmarkStart w:id="0" w:name="_GoBack"/>
      <w:bookmarkEnd w:id="0"/>
    </w:p>
    <w:sectPr w:rsidR="00867F00" w:rsidRPr="008040DB" w:rsidSect="004B4AF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879" w:left="1134" w:header="567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68601" w14:textId="77777777" w:rsidR="008040DB" w:rsidRDefault="008040DB" w:rsidP="00772ABC">
      <w:pPr>
        <w:spacing w:after="0" w:line="240" w:lineRule="auto"/>
      </w:pPr>
      <w:r>
        <w:separator/>
      </w:r>
    </w:p>
  </w:endnote>
  <w:endnote w:type="continuationSeparator" w:id="0">
    <w:p w14:paraId="7821340A" w14:textId="77777777" w:rsidR="008040DB" w:rsidRDefault="008040DB" w:rsidP="0077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Noto Serif SC Light">
    <w:panose1 w:val="02020300000000000000"/>
    <w:charset w:val="80"/>
    <w:family w:val="roman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282F6" w14:textId="77777777" w:rsidR="0075266E" w:rsidRPr="00867F00" w:rsidRDefault="00867F00" w:rsidP="00DB27B7">
    <w:pPr>
      <w:pStyle w:val="Sidefod"/>
      <w:spacing w:line="200" w:lineRule="exact"/>
      <w:rPr>
        <w:rFonts w:eastAsia="Noto Serif SC Light"/>
        <w:sz w:val="14"/>
      </w:rPr>
    </w:pPr>
    <w:bookmarkStart w:id="1" w:name="_Hlk9933807"/>
    <w:bookmarkStart w:id="2" w:name="_Hlk9933808"/>
    <w:r>
      <w:rPr>
        <w:rFonts w:eastAsia="Noto Serif SC Light"/>
        <w:noProof/>
        <w:sz w:val="14"/>
      </w:rPr>
      <w:drawing>
        <wp:anchor distT="0" distB="0" distL="114300" distR="114300" simplePos="0" relativeHeight="251660288" behindDoc="1" locked="0" layoutInCell="1" allowOverlap="1" wp14:anchorId="484144F4" wp14:editId="0AFF121F">
          <wp:simplePos x="0" y="0"/>
          <wp:positionH relativeFrom="margin">
            <wp:posOffset>5353685</wp:posOffset>
          </wp:positionH>
          <wp:positionV relativeFrom="paragraph">
            <wp:posOffset>-13352</wp:posOffset>
          </wp:positionV>
          <wp:extent cx="766800" cy="284400"/>
          <wp:effectExtent l="0" t="0" r="0" b="1905"/>
          <wp:wrapNone/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66E" w:rsidRPr="00867F00">
      <w:rPr>
        <w:rFonts w:eastAsia="Noto Serif SC Light"/>
        <w:sz w:val="14"/>
      </w:rPr>
      <w:t>Badminton D</w:t>
    </w:r>
    <w:r w:rsidR="008E0930" w:rsidRPr="00867F00">
      <w:rPr>
        <w:rFonts w:eastAsia="Noto Serif SC Light"/>
        <w:sz w:val="14"/>
      </w:rPr>
      <w:t>a</w:t>
    </w:r>
    <w:r w:rsidR="0075266E" w:rsidRPr="00867F00">
      <w:rPr>
        <w:rFonts w:eastAsia="Noto Serif SC Light"/>
        <w:sz w:val="14"/>
      </w:rPr>
      <w:t xml:space="preserve">nmark · </w:t>
    </w:r>
    <w:r w:rsidR="004B4AFE" w:rsidRPr="00867F00">
      <w:rPr>
        <w:rFonts w:eastAsia="Noto Serif SC Light"/>
        <w:sz w:val="14"/>
      </w:rPr>
      <w:t>Idrættens Hus</w:t>
    </w:r>
    <w:r w:rsidR="0075266E" w:rsidRPr="00867F00">
      <w:rPr>
        <w:rFonts w:eastAsia="Noto Serif SC Light"/>
        <w:sz w:val="14"/>
      </w:rPr>
      <w:t xml:space="preserve">, Brøndby Stadion 20, 2605 Brøndby </w:t>
    </w:r>
    <w:r w:rsidR="0075266E" w:rsidRPr="00867F00">
      <w:rPr>
        <w:rFonts w:eastAsia="Noto Serif SC Light"/>
        <w:sz w:val="14"/>
      </w:rPr>
      <w:br/>
      <w:t xml:space="preserve">CVR: 1369 3315 · </w:t>
    </w:r>
    <w:r w:rsidR="004B4AFE" w:rsidRPr="00867F00">
      <w:rPr>
        <w:rFonts w:eastAsia="Noto Serif SC Light"/>
        <w:sz w:val="14"/>
      </w:rPr>
      <w:t xml:space="preserve">Bank: 2217 8390133333 · </w:t>
    </w:r>
    <w:r w:rsidR="00FC51D7" w:rsidRPr="00867F00">
      <w:rPr>
        <w:rFonts w:eastAsia="Noto Serif SC Light"/>
        <w:sz w:val="14"/>
      </w:rPr>
      <w:t>T</w:t>
    </w:r>
    <w:r w:rsidR="0075266E" w:rsidRPr="00867F00">
      <w:rPr>
        <w:rFonts w:eastAsia="Noto Serif SC Light"/>
        <w:sz w:val="14"/>
      </w:rPr>
      <w:t>: +45 7060 5076 · M: info@badminton.dk · W: badminton.dk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846B" w14:textId="77777777" w:rsidR="004B4AFE" w:rsidRDefault="00867F00">
    <w:pPr>
      <w:pStyle w:val="Sidefod"/>
    </w:pPr>
    <w:r>
      <w:rPr>
        <w:rFonts w:eastAsia="Noto Serif SC Light"/>
        <w:noProof/>
        <w:sz w:val="14"/>
      </w:rPr>
      <w:drawing>
        <wp:anchor distT="0" distB="0" distL="114300" distR="114300" simplePos="0" relativeHeight="251662336" behindDoc="1" locked="0" layoutInCell="1" allowOverlap="1" wp14:anchorId="202A3A8C" wp14:editId="0F14DE3C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766800" cy="284400"/>
          <wp:effectExtent l="0" t="0" r="0" b="1905"/>
          <wp:wrapNone/>
          <wp:docPr id="2" name="Billede 2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ndlogoer_brev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AFE">
      <w:tab/>
    </w:r>
    <w:r w:rsidR="004B4AF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B7E31" w14:textId="77777777" w:rsidR="008040DB" w:rsidRDefault="008040DB" w:rsidP="00772ABC">
      <w:pPr>
        <w:spacing w:after="0" w:line="240" w:lineRule="auto"/>
      </w:pPr>
      <w:r>
        <w:separator/>
      </w:r>
    </w:p>
  </w:footnote>
  <w:footnote w:type="continuationSeparator" w:id="0">
    <w:p w14:paraId="3E503C2F" w14:textId="77777777" w:rsidR="008040DB" w:rsidRDefault="008040DB" w:rsidP="0077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A328B" w14:textId="77777777" w:rsidR="00772ABC" w:rsidRDefault="004B4AFE" w:rsidP="00772ABC">
    <w:pPr>
      <w:pStyle w:val="Sidehoved"/>
      <w:jc w:val="right"/>
    </w:pPr>
    <w:r>
      <w:rPr>
        <w:noProof/>
      </w:rPr>
      <w:drawing>
        <wp:inline distT="0" distB="0" distL="0" distR="0" wp14:anchorId="1939EAD6" wp14:editId="5DF2D77A">
          <wp:extent cx="1429200" cy="3852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C4E4" w14:textId="77777777" w:rsidR="004B4AFE" w:rsidRDefault="004B4AFE" w:rsidP="00CB5551">
    <w:pPr>
      <w:pStyle w:val="Sidehoved"/>
      <w:tabs>
        <w:tab w:val="clear" w:pos="4819"/>
        <w:tab w:val="clear" w:pos="9638"/>
        <w:tab w:val="left" w:pos="7378"/>
      </w:tabs>
      <w:jc w:val="right"/>
    </w:pPr>
    <w:r>
      <w:rPr>
        <w:noProof/>
      </w:rPr>
      <w:drawing>
        <wp:inline distT="0" distB="0" distL="0" distR="0" wp14:anchorId="7666DBB1" wp14:editId="63070A7D">
          <wp:extent cx="1429200" cy="3852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DE7"/>
    <w:multiLevelType w:val="hybridMultilevel"/>
    <w:tmpl w:val="EA488E40"/>
    <w:lvl w:ilvl="0" w:tplc="ECD2F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FA8"/>
    <w:multiLevelType w:val="hybridMultilevel"/>
    <w:tmpl w:val="83D03A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B5146"/>
    <w:multiLevelType w:val="hybridMultilevel"/>
    <w:tmpl w:val="E89666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A76ED0"/>
    <w:multiLevelType w:val="hybridMultilevel"/>
    <w:tmpl w:val="FC88976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A1FE3"/>
    <w:multiLevelType w:val="hybridMultilevel"/>
    <w:tmpl w:val="0026F64E"/>
    <w:lvl w:ilvl="0" w:tplc="C29EC82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F3085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A64EE6"/>
    <w:multiLevelType w:val="hybridMultilevel"/>
    <w:tmpl w:val="1898D4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DB"/>
    <w:rsid w:val="000C6377"/>
    <w:rsid w:val="00104E62"/>
    <w:rsid w:val="00155816"/>
    <w:rsid w:val="002507EB"/>
    <w:rsid w:val="00267ED0"/>
    <w:rsid w:val="00362F6D"/>
    <w:rsid w:val="00374916"/>
    <w:rsid w:val="003A07A9"/>
    <w:rsid w:val="003E3992"/>
    <w:rsid w:val="004B4AFE"/>
    <w:rsid w:val="005161AA"/>
    <w:rsid w:val="005E11A5"/>
    <w:rsid w:val="00601403"/>
    <w:rsid w:val="00606885"/>
    <w:rsid w:val="00665551"/>
    <w:rsid w:val="00693AD8"/>
    <w:rsid w:val="00696344"/>
    <w:rsid w:val="006D0B23"/>
    <w:rsid w:val="007226A8"/>
    <w:rsid w:val="0075266E"/>
    <w:rsid w:val="007629FF"/>
    <w:rsid w:val="007651DD"/>
    <w:rsid w:val="00772ABC"/>
    <w:rsid w:val="00783F12"/>
    <w:rsid w:val="008040DB"/>
    <w:rsid w:val="00867F00"/>
    <w:rsid w:val="00883450"/>
    <w:rsid w:val="008B08C6"/>
    <w:rsid w:val="008B1F59"/>
    <w:rsid w:val="008E0930"/>
    <w:rsid w:val="00907DEE"/>
    <w:rsid w:val="009D6EA0"/>
    <w:rsid w:val="009E32CD"/>
    <w:rsid w:val="00A055AB"/>
    <w:rsid w:val="00AA1E0D"/>
    <w:rsid w:val="00AD3A2A"/>
    <w:rsid w:val="00AE3623"/>
    <w:rsid w:val="00B11AAA"/>
    <w:rsid w:val="00B5716C"/>
    <w:rsid w:val="00B81764"/>
    <w:rsid w:val="00BA4EDA"/>
    <w:rsid w:val="00BC17EC"/>
    <w:rsid w:val="00BE1D02"/>
    <w:rsid w:val="00BF6CC7"/>
    <w:rsid w:val="00C12EA0"/>
    <w:rsid w:val="00C17F4D"/>
    <w:rsid w:val="00C26DDA"/>
    <w:rsid w:val="00C45CD1"/>
    <w:rsid w:val="00C77CC3"/>
    <w:rsid w:val="00CA65DE"/>
    <w:rsid w:val="00CB5551"/>
    <w:rsid w:val="00CF4107"/>
    <w:rsid w:val="00D214D1"/>
    <w:rsid w:val="00D36743"/>
    <w:rsid w:val="00D8163E"/>
    <w:rsid w:val="00DB27B7"/>
    <w:rsid w:val="00DE1966"/>
    <w:rsid w:val="00DF627A"/>
    <w:rsid w:val="00EA6928"/>
    <w:rsid w:val="00EE13A5"/>
    <w:rsid w:val="00F00552"/>
    <w:rsid w:val="00F05AC2"/>
    <w:rsid w:val="00FC51D7"/>
    <w:rsid w:val="00FE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818C6"/>
  <w15:chartTrackingRefBased/>
  <w15:docId w15:val="{655A6B41-9DE5-4006-85CE-3AE33B0A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0DB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2EA0"/>
    <w:pPr>
      <w:spacing w:after="240"/>
      <w:outlineLvl w:val="0"/>
    </w:pPr>
    <w:rPr>
      <w:rFonts w:ascii="Roboto Bold" w:eastAsia="Times New Roman" w:hAnsi="Roboto Bold" w:cs="Arial"/>
      <w:kern w:val="32"/>
      <w:sz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3A2A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72ABC"/>
  </w:style>
  <w:style w:type="paragraph" w:styleId="Sidefod">
    <w:name w:val="footer"/>
    <w:basedOn w:val="Normal"/>
    <w:link w:val="SidefodTegn"/>
    <w:uiPriority w:val="99"/>
    <w:unhideWhenUsed/>
    <w:rsid w:val="00772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72ABC"/>
  </w:style>
  <w:style w:type="table" w:styleId="Tabel-Gitter">
    <w:name w:val="Table Grid"/>
    <w:basedOn w:val="Tabel-Normal"/>
    <w:uiPriority w:val="59"/>
    <w:rsid w:val="00783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rsid w:val="003749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74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aliases w:val="Punktopstilling"/>
    <w:basedOn w:val="Normal"/>
    <w:uiPriority w:val="34"/>
    <w:qFormat/>
    <w:rsid w:val="00BA4EDA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6555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D6EA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EE13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2EA0"/>
    <w:rPr>
      <w:rFonts w:ascii="Roboto Bold" w:eastAsia="Times New Roman" w:hAnsi="Roboto Bold" w:cs="Arial"/>
      <w:kern w:val="32"/>
      <w:sz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D3A2A"/>
    <w:rPr>
      <w:rFonts w:ascii="Roboto Medium" w:eastAsiaTheme="majorEastAsia" w:hAnsi="Roboto Medium" w:cstheme="majorBidi"/>
      <w:sz w:val="18"/>
      <w:szCs w:val="26"/>
    </w:rPr>
  </w:style>
  <w:style w:type="paragraph" w:styleId="Ingenafstand">
    <w:name w:val="No Spacing"/>
    <w:uiPriority w:val="1"/>
    <w:rsid w:val="00AD3A2A"/>
    <w:pPr>
      <w:spacing w:after="0" w:line="240" w:lineRule="auto"/>
    </w:pPr>
    <w:rPr>
      <w:rFonts w:ascii="Roboto Light" w:hAnsi="Roboto Ligh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6%20Kommunikation\Grafik\designmanual\Skabeloner%20Juli%202019\Brevpapir\brevpapir_1%20side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C59A-6B76-42AA-BE0B-083560CA8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brevpapir_1 sidet</Template>
  <TotalTime>1</TotalTime>
  <Pages>1</Pages>
  <Words>360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Jensen</dc:creator>
  <cp:keywords/>
  <dc:description/>
  <cp:lastModifiedBy>Bettina Mortensen</cp:lastModifiedBy>
  <cp:revision>2</cp:revision>
  <cp:lastPrinted>2019-07-05T09:03:00Z</cp:lastPrinted>
  <dcterms:created xsi:type="dcterms:W3CDTF">2019-07-11T08:13:00Z</dcterms:created>
  <dcterms:modified xsi:type="dcterms:W3CDTF">2019-07-11T08:13:00Z</dcterms:modified>
</cp:coreProperties>
</file>